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97" w:rsidRPr="00090D97" w:rsidRDefault="00090D97" w:rsidP="00090D97">
      <w:pPr>
        <w:shd w:val="clear" w:color="auto" w:fill="FFFFFF" w:themeFill="background1"/>
        <w:spacing w:after="225"/>
        <w:jc w:val="center"/>
        <w:outlineLvl w:val="0"/>
        <w:rPr>
          <w:b/>
          <w:bCs/>
          <w:color w:val="000000"/>
          <w:kern w:val="36"/>
        </w:rPr>
      </w:pPr>
      <w:r w:rsidRPr="00090D97">
        <w:rPr>
          <w:b/>
          <w:bCs/>
          <w:color w:val="000000"/>
          <w:kern w:val="36"/>
        </w:rPr>
        <w:t>Распоряжение Управления образования от 22.11.2016 № 2561/46/36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  <w:r w:rsidRPr="00090D97">
        <w:rPr>
          <w:b/>
          <w:bCs/>
          <w:color w:val="000000"/>
        </w:rPr>
        <w:t>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«город Екатеринбург»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В соответствии с пп.6. ч .1 ст. 9, ч. 5 ст. 63 Федерального закона от 29.12.2012 № 273-ФЗ «Об образовании в Российской Федерации», приказом Минобрнауки России от 08.04.2014 № 293 «Об утверждении Порядка приема на обучение по образовательным программам дошкольного образования», пп. 3 п. 10 Положения «Об Управления образования Администрации города Екатеринбурга» (утв. Решением Екатеринбургской городской Думы от 24.06.2014 № 20/18), Постановлением Администрации г. Екатеринбурга от 23.09.2016 № 1921 «Об утверждении Административного регламента предоставления муниципальной услуги «Прием заявлений, постановка на учет и зачисление детей в образовательные учреждения, реализующие основную общеобразовательную программу дошкольного образования (детские сады)» в целях установления единого порядка учета детей, подлежащих обучению по образовательным программам дошкольного образования в муниципальном образовании «город Екатеринбург»,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1. Утвердить Положение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(приложение).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2. Признать утратившим силу распоряжение Управления образования Администрации города Екатеринбурга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«город Екатеринбург» (в редакции распоряжений Управления образования Администрации города Екатеринбурга от 05.02.2015 № 151/46/36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 и от 09.06.2015 № 1135/46/36 «О внесение изменений в Распоряжение Управления образования от 18.08.2014 № 1753/46/36 «Об утверждении Положения о порядке учета детей, подлежащих обучению по образовательным программам дошкольного образования в муниципальном образовании „город Екатеринбург“»).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3. Заместителю начальника Науменко В.А. обеспечить необходимые условия для опубликования настоящего Распоряжения в газете «Вечерний Екатеринбург» и размещения на официальном портале Администрации города Екатеринбурга, на сайте Управления образования в установленный срок.</w:t>
      </w: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4. Настоящее распоряжение вступает в силу с момента опубликования.</w:t>
      </w:r>
    </w:p>
    <w:p w:rsid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  <w:r w:rsidRPr="00090D97">
        <w:rPr>
          <w:color w:val="000000"/>
        </w:rPr>
        <w:t>5. Контроль за исполнением распоряжения оставляю за собой.</w:t>
      </w:r>
    </w:p>
    <w:p w:rsid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090D97" w:rsidRPr="00090D97" w:rsidRDefault="00090D97" w:rsidP="00090D97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/>
        </w:rPr>
      </w:pPr>
    </w:p>
    <w:p w:rsidR="00090D97" w:rsidRPr="00DA1AAE" w:rsidRDefault="00090D97" w:rsidP="00090D97">
      <w:pPr>
        <w:jc w:val="right"/>
      </w:pPr>
      <w:r w:rsidRPr="00DA1AAE">
        <w:lastRenderedPageBreak/>
        <w:t>Приложение</w:t>
      </w:r>
      <w:r>
        <w:t xml:space="preserve"> </w:t>
      </w:r>
    </w:p>
    <w:p w:rsidR="00090D97" w:rsidRPr="00DA1AAE" w:rsidRDefault="00090D97" w:rsidP="00090D97">
      <w:pPr>
        <w:jc w:val="right"/>
      </w:pPr>
      <w:r w:rsidRPr="00DA1AAE">
        <w:t xml:space="preserve">к распоряжению </w:t>
      </w:r>
    </w:p>
    <w:p w:rsidR="00090D97" w:rsidRPr="00DA1AAE" w:rsidRDefault="00090D97" w:rsidP="00090D97">
      <w:pPr>
        <w:jc w:val="right"/>
      </w:pPr>
      <w:bookmarkStart w:id="0" w:name="_GoBack"/>
      <w:bookmarkEnd w:id="0"/>
      <w:r w:rsidRPr="00DA1AAE">
        <w:t xml:space="preserve">Управления образования Администрации </w:t>
      </w:r>
    </w:p>
    <w:p w:rsidR="00090D97" w:rsidRPr="00DA1AAE" w:rsidRDefault="00090D97" w:rsidP="00090D97">
      <w:pPr>
        <w:jc w:val="right"/>
      </w:pPr>
      <w:r w:rsidRPr="00DA1AAE">
        <w:t>города Екатеринбурга</w:t>
      </w:r>
    </w:p>
    <w:p w:rsidR="00090D97" w:rsidRPr="00DA1AAE" w:rsidRDefault="00090D97" w:rsidP="00090D97">
      <w:pPr>
        <w:jc w:val="right"/>
      </w:pPr>
      <w:r w:rsidRPr="00DA1AAE">
        <w:t>от __________ № _________</w:t>
      </w:r>
    </w:p>
    <w:p w:rsidR="00090D97" w:rsidRPr="00FE7B60" w:rsidRDefault="00090D97" w:rsidP="00090D97">
      <w:pPr>
        <w:jc w:val="right"/>
        <w:rPr>
          <w:sz w:val="28"/>
          <w:szCs w:val="28"/>
        </w:rPr>
      </w:pPr>
    </w:p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lastRenderedPageBreak/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lastRenderedPageBreak/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</w:t>
      </w:r>
      <w:r w:rsidR="00291513" w:rsidRPr="00723E4C">
        <w:rPr>
          <w:rFonts w:ascii="Times New Roman" w:hAnsi="Times New Roman" w:cs="Times New Roman"/>
          <w:color w:val="auto"/>
        </w:rPr>
        <w:lastRenderedPageBreak/>
        <w:t xml:space="preserve">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 xml:space="preserve">осуществляет направление по адресу проживания заявителя, указанному в заявлении, </w:t>
      </w:r>
      <w:r>
        <w:lastRenderedPageBreak/>
        <w:t>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lastRenderedPageBreak/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 xml:space="preserve"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</w:t>
      </w:r>
      <w:r>
        <w:lastRenderedPageBreak/>
        <w:t>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lastRenderedPageBreak/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</w:t>
            </w:r>
            <w:r w:rsidRPr="000365E4">
              <w:lastRenderedPageBreak/>
              <w:t>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8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в) направленным в Республику Дагестан, </w:t>
            </w:r>
            <w:r w:rsidRPr="000365E4">
              <w:lastRenderedPageBreak/>
              <w:t>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0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      </w:r>
            <w:r w:rsidRPr="000365E4">
              <w:rPr>
                <w:rFonts w:ascii="Times New Roman" w:hAnsi="Times New Roman" w:cs="Times New Roman"/>
              </w:rPr>
              <w:lastRenderedPageBreak/>
              <w:t>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и копия </w:t>
            </w:r>
            <w:r w:rsidRPr="000365E4">
              <w:lastRenderedPageBreak/>
              <w:t>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090D97">
          <w:footerReference w:type="default" r:id="rId13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CB" w:rsidRDefault="009703CB" w:rsidP="00746671">
      <w:r>
        <w:separator/>
      </w:r>
    </w:p>
  </w:endnote>
  <w:endnote w:type="continuationSeparator" w:id="0">
    <w:p w:rsidR="009703CB" w:rsidRDefault="009703CB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00951"/>
      <w:docPartObj>
        <w:docPartGallery w:val="Page Numbers (Bottom of Page)"/>
        <w:docPartUnique/>
      </w:docPartObj>
    </w:sdtPr>
    <w:sdtEndPr/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97">
          <w:rPr>
            <w:noProof/>
          </w:rPr>
          <w:t>2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CB" w:rsidRDefault="009703CB" w:rsidP="00746671">
      <w:r>
        <w:separator/>
      </w:r>
    </w:p>
  </w:footnote>
  <w:footnote w:type="continuationSeparator" w:id="0">
    <w:p w:rsidR="009703CB" w:rsidRDefault="009703CB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0D97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03CB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18F5"/>
  <w15:docId w15:val="{65E6683F-5CE4-4936-AF02-36659A7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90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0D9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0">
    <w:name w:val="Strong"/>
    <w:basedOn w:val="a0"/>
    <w:uiPriority w:val="22"/>
    <w:qFormat/>
    <w:locked/>
    <w:rsid w:val="0009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7DACE38C2A63031055F8B6520B3B54585E556F7E23A654CBE327t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8DCK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D40E62D8C96B66B3E56C83FEE7638637C1A2474DCDC90ED79E521EDBEBFBEF1710CF8B8D8579DC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7B20t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A289-014C-4DFE-AC20-553C08A8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8521</Words>
  <Characters>48573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УТВЕРЖДЕНО</vt:lpstr>
      <vt:lpstr>    свидетельство о рождении ребенка;</vt:lpstr>
      <vt:lpstr>    документ, подтверждающий новое место жительства ребенка: </vt:lpstr>
      <vt:lpstr>    свидетельство о регистрации ребёнка по месту жительства (форма № 8) на закреплён</vt:lpstr>
      <vt:lpstr>    свидетельство о регистрации по месту пребывания (форма № 3) на закреплённой терр</vt:lpstr>
      <vt:lpstr>    документ, содержащий сведения о регистрации ребёнка по месту жительства или по м</vt:lpstr>
      <vt:lpstr>    документ, удостоверяющий личность и полномочия заявителя.</vt:lpstr>
    </vt:vector>
  </TitlesOfParts>
  <Company>Hewlett-Packard Company</Company>
  <LinksUpToDate>false</LinksUpToDate>
  <CharactersWithSpaces>56981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Пользователь Windows</cp:lastModifiedBy>
  <cp:revision>4</cp:revision>
  <cp:lastPrinted>2016-11-14T08:34:00Z</cp:lastPrinted>
  <dcterms:created xsi:type="dcterms:W3CDTF">2016-11-17T07:31:00Z</dcterms:created>
  <dcterms:modified xsi:type="dcterms:W3CDTF">2018-02-27T04:52:00Z</dcterms:modified>
</cp:coreProperties>
</file>